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44191" w:rsidRDefault="00384D10">
      <w:pPr>
        <w:jc w:val="both"/>
      </w:pPr>
      <w:r>
        <w:t>Συλλογικοί Λογαριασμοί Κινητών Αξιών (OMNIBUS ACCOUNTS) κατά τον  Ν. 4569/2018</w:t>
      </w:r>
    </w:p>
    <w:p w14:paraId="00000002" w14:textId="77777777" w:rsidR="00B44191" w:rsidRDefault="00B44191">
      <w:pPr>
        <w:jc w:val="both"/>
      </w:pPr>
    </w:p>
    <w:p w14:paraId="00000003" w14:textId="77777777" w:rsidR="00B44191" w:rsidRDefault="00384D10">
      <w:pPr>
        <w:jc w:val="both"/>
      </w:pPr>
      <w:r>
        <w:t>Διά του Ν. 4569/2018 υφίσταται η δυνατότητα τήρησης των κινητών αξιών των πελατών ενός εγγεγραμμένου διαμεσολαβητή σε έναν (συλλογικό) λογαριασμό.</w:t>
      </w:r>
    </w:p>
    <w:p w14:paraId="00000004" w14:textId="77777777" w:rsidR="00B44191" w:rsidRDefault="00384D10">
      <w:pPr>
        <w:jc w:val="both"/>
      </w:pPr>
      <w:r>
        <w:t>Σε τέτοια περίπτωση, ο εγγεγραμμένος διαμεσολαβητής υποδεικνύει το πρόσωπο του μετόχου και υφίσταται η δυνατό</w:t>
      </w:r>
      <w:r>
        <w:t>τητα παροχής υπηρεσιών μητρώου στις εκδότριες εταιρίες από το ΚΑΤ, κατόπιν συμφωνίας, ενώ υποχρεούνται οι εγγεγραμμένοι διαμεσολαβητές να παρέχουν υπηρεσίες μητρώου (μετοχολόγιο) στις εκδότριες εταιρίες, εφόσον τους ζητηθεί.</w:t>
      </w:r>
    </w:p>
    <w:p w14:paraId="00000005" w14:textId="77777777" w:rsidR="00B44191" w:rsidRDefault="00B44191">
      <w:pPr>
        <w:jc w:val="both"/>
      </w:pPr>
    </w:p>
    <w:p w14:paraId="00000006" w14:textId="77777777" w:rsidR="00B44191" w:rsidRDefault="00384D10">
      <w:pPr>
        <w:jc w:val="both"/>
      </w:pPr>
      <w:r>
        <w:t>Σε περίπτωση μη ταυτοποίησης μ</w:t>
      </w:r>
      <w:r>
        <w:t>ετόχων, ο  Ν. 4569/2018 ("Κεντρικά Αποθετήρια Τίτλων, ΙΙ) Προσαρμογή της Ελληνικής Νομοθεσίας στις διατάξεις της Οδηγίας (ΕΕ) 2016/2258 και άλλες διατάξεις και ΙΙΙ)Λοιπές διατάξεις") προβλέπει την δυνατότητα, οι λογαριασμοί που τηρούνται στο Κεντρικό Αποθε</w:t>
      </w:r>
      <w:r>
        <w:t>τήριο Τίτλων (εφεξής «ΚΑΤ») να λειτουργούν όχι μόνο ως ατομικοί, αλλά και ως συλλογικοί (εφεξής και «omnibus account(s)»).</w:t>
      </w:r>
    </w:p>
    <w:p w14:paraId="00000007" w14:textId="77777777" w:rsidR="00B44191" w:rsidRDefault="00B44191">
      <w:pPr>
        <w:jc w:val="both"/>
      </w:pPr>
    </w:p>
    <w:p w14:paraId="00000008" w14:textId="77777777" w:rsidR="00B44191" w:rsidRDefault="00384D10">
      <w:pPr>
        <w:jc w:val="both"/>
      </w:pPr>
      <w:r>
        <w:t>Ο όρος omnibus account αναφέρεται σε έναν λογαριασμό όπου ο συμμετέχων σε ΚΑΤ/εγγεγραμμένος διαμεσολαβητής (ΕΠΕΥ, πιστωτικά ιδρύματα</w:t>
      </w:r>
      <w:r>
        <w:t xml:space="preserve"> κ.ο.κ.) τηρεί συγκεντρωτικά κινητές αξίες (μετοχές) που ανήκουν σε τρίτους (στους πελάτες του).</w:t>
      </w:r>
    </w:p>
    <w:p w14:paraId="00000009" w14:textId="77777777" w:rsidR="00B44191" w:rsidRDefault="00B44191">
      <w:pPr>
        <w:jc w:val="both"/>
      </w:pPr>
    </w:p>
    <w:p w14:paraId="0000000A" w14:textId="77777777" w:rsidR="00B44191" w:rsidRDefault="00384D10">
      <w:pPr>
        <w:jc w:val="both"/>
      </w:pPr>
      <w:r>
        <w:t>Η εισαγωγή των omnibus accounts στο ΚΑΤ σηματοδοτεί την μετάβαση από σύστημα άμεσης τήρησης τίτλων (direct holding system ή transparent system), σύμφωνα με το</w:t>
      </w:r>
      <w:r>
        <w:t xml:space="preserve"> οποίο και προκειμένου για τις άυλες μετοχές των εισηγμένων εταιριών, ως μέτοχος έναντι της εταιρίας θεωρούνταν ο εγγεγραμμένος στο μητρώο κινητών αξιών επενδυτής (Σύστημα Άυλων Τίτλων/ΣΑΤ) στο νομικό σύστημα έμμεσης τήρησης τίτλων (indirect holding system</w:t>
      </w:r>
      <w:r>
        <w:t>), όπου μέτοχος έναντι της εταιρείας θεωρείται ο εγγεγραμμένος στο μητρώο κεντρικού αποθετηρίου τίτλων ή (στην περίπτωση που οι μετοχές τηρούνται σε omnibus accounts) ο ταυτοποιούμενος ως τέτοιος μέσω των εγγεγραμμένων διαμεσολαβητών.</w:t>
      </w:r>
    </w:p>
    <w:p w14:paraId="0000000B" w14:textId="77777777" w:rsidR="00B44191" w:rsidRDefault="00B44191">
      <w:pPr>
        <w:jc w:val="both"/>
      </w:pPr>
    </w:p>
    <w:p w14:paraId="0000000C" w14:textId="6A0BDDE9" w:rsidR="00B44191" w:rsidRDefault="00384D10">
      <w:pPr>
        <w:jc w:val="both"/>
      </w:pPr>
      <w:r>
        <w:t>Σε πανευρωπαϊκό επίπ</w:t>
      </w:r>
      <w:r>
        <w:t>εδο, δυνάμει του Κανονισμού 909/2014 (CSDR), οι συμμετέχοντες σε ΚΑΤ παρέχουνε</w:t>
      </w:r>
      <w:r>
        <w:t xml:space="preserve"> στους πελάτες τους, την δυνατότητα να επιλέξουν αν οι μετοχές τους:</w:t>
      </w:r>
    </w:p>
    <w:p w14:paraId="0000000D" w14:textId="77777777" w:rsidR="00B44191" w:rsidRDefault="00384D10">
      <w:pPr>
        <w:jc w:val="both"/>
      </w:pPr>
      <w:r>
        <w:t>Α) θα τηρούνται σε ατομικούς λογαριασμούς επενδυτή («διαχωρισμός ανά πελάτη/individual acc</w:t>
      </w:r>
      <w:r>
        <w:t>ount segregation»), ή</w:t>
      </w:r>
    </w:p>
    <w:p w14:paraId="0000000E" w14:textId="77777777" w:rsidR="00B44191" w:rsidRDefault="00384D10">
      <w:pPr>
        <w:jc w:val="both"/>
      </w:pPr>
      <w:r>
        <w:t>Β) θα τηρούνται όλες, συγκεντρωτικά σε έναν συλλογικό λογαριασμό αξιών αποθετηρίου («συνολικός διαχωρισμός πελατών/omnibus account segregation»).</w:t>
      </w:r>
    </w:p>
    <w:p w14:paraId="0000000F" w14:textId="77777777" w:rsidR="00B44191" w:rsidRDefault="00B44191">
      <w:pPr>
        <w:jc w:val="both"/>
      </w:pPr>
    </w:p>
    <w:p w14:paraId="00000010" w14:textId="77777777" w:rsidR="00B44191" w:rsidRDefault="00384D10">
      <w:pPr>
        <w:jc w:val="both"/>
      </w:pPr>
      <w:r>
        <w:t xml:space="preserve">Οι συμμετέχοντες σε ΚΑΤ προσφέρουν σε κάθε πελάτη την δυνατότητα επιλογής ανάμεσα στον </w:t>
      </w:r>
      <w:r>
        <w:t xml:space="preserve">συνολικό διαχωρισμό πελατών και τον διαχωρισμό ανά πελάτη και τον ενημερώνουν σχετικά με το κόστος και τους κινδύνους που συνδέονται με καθεμία από αυτές τις δυνατότητες. </w:t>
      </w:r>
    </w:p>
    <w:p w14:paraId="00000011" w14:textId="77777777" w:rsidR="00B44191" w:rsidRDefault="00B44191">
      <w:pPr>
        <w:jc w:val="both"/>
      </w:pPr>
    </w:p>
    <w:p w14:paraId="00000012" w14:textId="77777777" w:rsidR="00B44191" w:rsidRDefault="00384D10">
      <w:pPr>
        <w:jc w:val="both"/>
      </w:pPr>
      <w:r>
        <w:t>Στην περίπτωση των omnibus accounts, οι συμμετέχοντες οφείλουν, ταυτόχρονα με την ο</w:t>
      </w:r>
      <w:r>
        <w:t xml:space="preserve">λοκλήρωση κάθε συναλλαγής επί κινητών αξιών (διακανονισμός) στο ΚΑΤ, να εγγράφουν τους δικαιούχους πελάτες τους στα αρχεία και βιβλία τους. </w:t>
      </w:r>
    </w:p>
    <w:p w14:paraId="00000013" w14:textId="77777777" w:rsidR="00B44191" w:rsidRDefault="00B44191">
      <w:pPr>
        <w:jc w:val="both"/>
      </w:pPr>
    </w:p>
    <w:p w14:paraId="00000014" w14:textId="77777777" w:rsidR="00B44191" w:rsidRDefault="00384D10">
      <w:pPr>
        <w:jc w:val="both"/>
      </w:pPr>
      <w:r>
        <w:lastRenderedPageBreak/>
        <w:t xml:space="preserve">Τα στοιχεία των παραπάνω λογιστικών εγγραφών αποδεικνύουν τα πάσης φύσεως εμπράγματα δικαιώματα επί των αξιών που </w:t>
      </w:r>
      <w:r>
        <w:t>τηρούνται εντός του συλλογικού λογαριασμού.</w:t>
      </w:r>
    </w:p>
    <w:p w14:paraId="00000015" w14:textId="77777777" w:rsidR="00B44191" w:rsidRDefault="00B44191">
      <w:pPr>
        <w:jc w:val="both"/>
      </w:pPr>
    </w:p>
    <w:p w14:paraId="00000016" w14:textId="77777777" w:rsidR="00B44191" w:rsidRDefault="00384D10">
      <w:pPr>
        <w:jc w:val="both"/>
      </w:pPr>
      <w:r>
        <w:t>Ο Νόμος δίνει στις εκδότριες εταιρίες το δικαίωμα να συνάψουν συμφωνία με το ΚΑΤ, ώστε αυτό να τους παρέχει υπηρεσίες μητρώου και ταυτοποίησης μετόχων, όπως η εξακρίβωση στοιχείων των μετόχων και των μετοχών που</w:t>
      </w:r>
      <w:r>
        <w:t xml:space="preserve"> τηρούνται σε omnibus accounts (περιλαμβανομένων των δικαιωμάτων ψήφου). </w:t>
      </w:r>
    </w:p>
    <w:p w14:paraId="00000017" w14:textId="77777777" w:rsidR="00B44191" w:rsidRDefault="00B44191">
      <w:pPr>
        <w:jc w:val="both"/>
      </w:pPr>
    </w:p>
    <w:p w14:paraId="00000018" w14:textId="77777777" w:rsidR="00B44191" w:rsidRDefault="00384D10">
      <w:pPr>
        <w:jc w:val="both"/>
      </w:pPr>
      <w:r>
        <w:t>Ελλείψει σχετικής συμφωνίας της εκδότριας με το ΚΑΤ, τις άνωθι υπηρεσίες παρέχουν απευθείας συμμετέχοντες στο ΚΑΤ και οι εγγεγραμμένοι διαμεσολαβητές</w:t>
      </w:r>
    </w:p>
    <w:p w14:paraId="00000019" w14:textId="77777777" w:rsidR="00B44191" w:rsidRDefault="00B44191">
      <w:pPr>
        <w:jc w:val="both"/>
      </w:pPr>
    </w:p>
    <w:p w14:paraId="0000001A" w14:textId="77777777" w:rsidR="00B44191" w:rsidRDefault="00384D10">
      <w:pPr>
        <w:jc w:val="both"/>
      </w:pPr>
      <w:r>
        <w:t>Μέτοχος (ανώνυμων και ονομαστι</w:t>
      </w:r>
      <w:r>
        <w:t xml:space="preserve">κών) μετοχών που τηρούνται σε omnibus accounts θεωρείται ο ταυτοποιούμενος μέσω του εγγεγραμμένου διαμεσολαβητή που τηρεί το σχετικό λογαριασμό και, συνεπώς, έχει δικαίωμα ψήφου και συμμετοχής στην Γενική Συνέλευση. </w:t>
      </w:r>
    </w:p>
    <w:p w14:paraId="0000001B" w14:textId="77777777" w:rsidR="00B44191" w:rsidRDefault="00B44191">
      <w:pPr>
        <w:jc w:val="both"/>
      </w:pPr>
    </w:p>
    <w:p w14:paraId="0000001C" w14:textId="77777777" w:rsidR="00B44191" w:rsidRDefault="00384D10">
      <w:pPr>
        <w:jc w:val="both"/>
      </w:pPr>
      <w:r>
        <w:t>Η γνωστοποίηση των ταυτοποιούμενων μετ</w:t>
      </w:r>
      <w:r>
        <w:t>όχων προς την εκδότρια γίνεται είτε από το ΚΑΤ (εφόσον υπάρχει σχετική συμφωνία με την εκδότρια) είτε από τον εγγεγραμμένο διαμεσολαβητή, ο οποίος και στις δυο περιπτώσεις είναι υπεύθυνος για την πληρότητα και ακρίβεια των στοιχείων των ταυτοποιούμενων δικ</w:t>
      </w:r>
      <w:r>
        <w:t>αιούχων πελατών του έναντι της εκδότριας εταιρίας.</w:t>
      </w:r>
    </w:p>
    <w:p w14:paraId="0000001D" w14:textId="77777777" w:rsidR="00B44191" w:rsidRDefault="00B44191">
      <w:pPr>
        <w:jc w:val="both"/>
      </w:pPr>
    </w:p>
    <w:p w14:paraId="0000001E" w14:textId="77777777" w:rsidR="00B44191" w:rsidRDefault="00384D10">
      <w:pPr>
        <w:jc w:val="both"/>
      </w:pPr>
      <w:r>
        <w:t xml:space="preserve">Η μη εμπρόθεσμη ταυτοποίηση μετόχων από τους εγγεγραμμένους διαμεσολαβητές, προκειμένου αυτοί να ασκήσουν τα δικαιώματά τους συνεπάγεται την στέρηση του δικαιώματος παράστασης στην γενική συνέλευση της εταιρίας και της άσκησης του δικαιώματος ψήφου. </w:t>
      </w:r>
    </w:p>
    <w:p w14:paraId="0000001F" w14:textId="77777777" w:rsidR="00B44191" w:rsidRDefault="00B44191">
      <w:pPr>
        <w:jc w:val="both"/>
      </w:pPr>
    </w:p>
    <w:p w14:paraId="00000020" w14:textId="77777777" w:rsidR="00B44191" w:rsidRDefault="00384D10">
      <w:pPr>
        <w:jc w:val="both"/>
      </w:pPr>
      <w:r>
        <w:t>Οι ε</w:t>
      </w:r>
      <w:r>
        <w:t>γγεγραμμένοι διαμεσολαβητές πρέπει να είναι σε θέση να γνωστοποιούν στις εκδότριες εταιρίες τα στοιχεία των μετόχων ονομαστικών μετοχών οποτεδήποτε, εφόσον τούτο τους ζητηθεί.</w:t>
      </w:r>
      <w:r>
        <w:t xml:space="preserve"> </w:t>
      </w:r>
    </w:p>
    <w:sectPr w:rsidR="00B4419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191"/>
    <w:rsid w:val="00384D10"/>
    <w:rsid w:val="00AF26B6"/>
    <w:rsid w:val="00B44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01049"/>
  <w15:docId w15:val="{3A64CA02-67E5-42A8-979B-0E770994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l-G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Χρήστος Ιωαννίδης</dc:creator>
  <cp:lastModifiedBy>Χρήστος Ιωαννίδης</cp:lastModifiedBy>
  <cp:revision>3</cp:revision>
  <dcterms:created xsi:type="dcterms:W3CDTF">2023-06-16T11:30:00Z</dcterms:created>
  <dcterms:modified xsi:type="dcterms:W3CDTF">2023-06-16T11:31:00Z</dcterms:modified>
</cp:coreProperties>
</file>